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Determinants of Indigenous People’s Health in Canada.</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Name.</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Institution.</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Date.</w:t>
      </w: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tabs>
          <w:tab w:val="left" w:pos="1890"/>
        </w:tabs>
        <w:spacing w:line="480" w:lineRule="auto"/>
        <w:rPr>
          <w:rFonts w:ascii="Times New Roman" w:hAnsi="Times New Roman" w:cs="Times New Roman"/>
          <w:sz w:val="24"/>
          <w:szCs w:val="24"/>
        </w:rPr>
      </w:pPr>
      <w:r w:rsidRPr="00B1366E">
        <w:rPr>
          <w:rFonts w:ascii="Times New Roman" w:hAnsi="Times New Roman" w:cs="Times New Roman"/>
          <w:sz w:val="24"/>
          <w:szCs w:val="24"/>
        </w:rPr>
        <w:tab/>
      </w: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ind w:firstLine="720"/>
        <w:rPr>
          <w:rFonts w:ascii="Times New Roman" w:hAnsi="Times New Roman" w:cs="Times New Roman"/>
          <w:sz w:val="24"/>
          <w:szCs w:val="24"/>
        </w:rPr>
      </w:pPr>
    </w:p>
    <w:p w:rsidR="00B1366E" w:rsidRPr="00B1366E" w:rsidRDefault="00B1366E" w:rsidP="00B1366E">
      <w:pPr>
        <w:spacing w:line="480" w:lineRule="auto"/>
        <w:ind w:firstLine="720"/>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3D1606" w:rsidRDefault="003D1606" w:rsidP="00B1366E">
      <w:pPr>
        <w:spacing w:line="480" w:lineRule="auto"/>
        <w:ind w:firstLine="720"/>
        <w:jc w:val="center"/>
        <w:rPr>
          <w:rFonts w:ascii="Times New Roman" w:hAnsi="Times New Roman" w:cs="Times New Roman"/>
          <w:sz w:val="24"/>
          <w:szCs w:val="24"/>
        </w:rPr>
      </w:pPr>
      <w:r w:rsidRPr="00B1366E">
        <w:rPr>
          <w:rFonts w:ascii="Times New Roman" w:hAnsi="Times New Roman" w:cs="Times New Roman"/>
          <w:sz w:val="24"/>
          <w:szCs w:val="24"/>
        </w:rPr>
        <w:lastRenderedPageBreak/>
        <w:t>Determinants of Indigenous People’s Health in Canada.</w:t>
      </w:r>
    </w:p>
    <w:p w:rsidR="00B1366E" w:rsidRPr="00B1366E" w:rsidRDefault="00B1366E" w:rsidP="00B1366E">
      <w:pPr>
        <w:spacing w:line="480" w:lineRule="auto"/>
        <w:ind w:firstLine="720"/>
        <w:jc w:val="center"/>
        <w:rPr>
          <w:rFonts w:ascii="Times New Roman" w:hAnsi="Times New Roman" w:cs="Times New Roman"/>
          <w:b/>
          <w:sz w:val="24"/>
          <w:szCs w:val="24"/>
        </w:rPr>
      </w:pPr>
      <w:r w:rsidRPr="00B1366E">
        <w:rPr>
          <w:rFonts w:ascii="Times New Roman" w:hAnsi="Times New Roman" w:cs="Times New Roman"/>
          <w:b/>
          <w:sz w:val="24"/>
          <w:szCs w:val="24"/>
        </w:rPr>
        <w:t>Introduction.</w:t>
      </w:r>
    </w:p>
    <w:p w:rsidR="00043286"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Determinants of health are the conditions which are deemed necessary for an individual to survive. They capture a wide context in which individuals are born, grow, live, work and age. In this setting, Indigenous people in Canada have underscored significant health disparities. They have exhibited continuous suffering as compared to other Canadians (Greenwood, 2015).  Different debates have hinted that health inequalities in Canada have been attributed to increased food insecurity, poverty, and lack of clean drinking water, the prevalence of chronic diseases and growing rate of alcohol and drug abuse. The main determinants of indigenous people’s health in </w:t>
      </w:r>
      <w:r w:rsidR="00043286">
        <w:rPr>
          <w:rFonts w:ascii="Times New Roman" w:hAnsi="Times New Roman" w:cs="Times New Roman"/>
          <w:sz w:val="24"/>
          <w:szCs w:val="24"/>
        </w:rPr>
        <w:t xml:space="preserve">Canada are; the social-economic </w:t>
      </w:r>
      <w:r w:rsidRPr="00B1366E">
        <w:rPr>
          <w:rFonts w:ascii="Times New Roman" w:hAnsi="Times New Roman" w:cs="Times New Roman"/>
          <w:sz w:val="24"/>
          <w:szCs w:val="24"/>
        </w:rPr>
        <w:t>environments, physical environments and person’s individual behavior an</w:t>
      </w:r>
      <w:r w:rsidR="00043286">
        <w:rPr>
          <w:rFonts w:ascii="Times New Roman" w:hAnsi="Times New Roman" w:cs="Times New Roman"/>
          <w:sz w:val="24"/>
          <w:szCs w:val="24"/>
        </w:rPr>
        <w:t xml:space="preserve">d characters; but other </w:t>
      </w:r>
      <w:r w:rsidRPr="00B1366E">
        <w:rPr>
          <w:rFonts w:ascii="Times New Roman" w:hAnsi="Times New Roman" w:cs="Times New Roman"/>
          <w:sz w:val="24"/>
          <w:szCs w:val="24"/>
        </w:rPr>
        <w:t>scholars have cited that historical contexts, urbanization and social policing, wars and gender difference</w:t>
      </w:r>
      <w:r w:rsidR="00043286">
        <w:rPr>
          <w:rFonts w:ascii="Times New Roman" w:hAnsi="Times New Roman" w:cs="Times New Roman"/>
          <w:sz w:val="24"/>
          <w:szCs w:val="24"/>
        </w:rPr>
        <w:t xml:space="preserve">s  as </w:t>
      </w:r>
      <w:r w:rsidRPr="00B1366E">
        <w:rPr>
          <w:rFonts w:ascii="Times New Roman" w:hAnsi="Times New Roman" w:cs="Times New Roman"/>
          <w:sz w:val="24"/>
          <w:szCs w:val="24"/>
        </w:rPr>
        <w:t>equal determinates</w:t>
      </w:r>
      <w:r w:rsidR="00043286">
        <w:rPr>
          <w:rFonts w:ascii="Times New Roman" w:hAnsi="Times New Roman" w:cs="Times New Roman"/>
          <w:sz w:val="24"/>
          <w:szCs w:val="24"/>
        </w:rPr>
        <w:t>.</w:t>
      </w:r>
    </w:p>
    <w:p w:rsidR="00B1366E" w:rsidRPr="00B1366E" w:rsidRDefault="00043286" w:rsidP="00B136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Evidently, </w:t>
      </w:r>
      <w:r w:rsidRPr="00B1366E">
        <w:rPr>
          <w:rFonts w:ascii="Times New Roman" w:hAnsi="Times New Roman" w:cs="Times New Roman"/>
          <w:sz w:val="24"/>
          <w:szCs w:val="24"/>
        </w:rPr>
        <w:t>social</w:t>
      </w:r>
      <w:r w:rsidR="00B1366E" w:rsidRPr="00B1366E">
        <w:rPr>
          <w:rFonts w:ascii="Times New Roman" w:hAnsi="Times New Roman" w:cs="Times New Roman"/>
          <w:sz w:val="24"/>
          <w:szCs w:val="24"/>
        </w:rPr>
        <w:t xml:space="preserve"> and economic environments, physical surroundings and individual’s personality are the prime determinates of the health of indigenous people in Canada. Each of these determinants is inclusive of many leading aspects as shown in my arguments. </w:t>
      </w:r>
    </w:p>
    <w:p w:rsidR="00B1366E" w:rsidRPr="00B1366E" w:rsidRDefault="00B1366E" w:rsidP="00B1366E">
      <w:pPr>
        <w:spacing w:line="480" w:lineRule="auto"/>
        <w:ind w:firstLine="720"/>
        <w:jc w:val="center"/>
        <w:rPr>
          <w:rFonts w:ascii="Times New Roman" w:hAnsi="Times New Roman" w:cs="Times New Roman"/>
          <w:sz w:val="24"/>
          <w:szCs w:val="24"/>
        </w:rPr>
      </w:pPr>
      <w:r w:rsidRPr="00B1366E">
        <w:rPr>
          <w:rFonts w:ascii="Times New Roman" w:hAnsi="Times New Roman" w:cs="Times New Roman"/>
          <w:b/>
          <w:i/>
          <w:sz w:val="24"/>
          <w:szCs w:val="24"/>
        </w:rPr>
        <w:t>Social economic environment</w:t>
      </w:r>
      <w:r w:rsidRPr="00B1366E">
        <w:rPr>
          <w:rFonts w:ascii="Times New Roman" w:hAnsi="Times New Roman" w:cs="Times New Roman"/>
          <w:sz w:val="24"/>
          <w:szCs w:val="24"/>
        </w:rPr>
        <w: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Social and economic environments score a wide context in dictating the nature of individual’s life as shown in the indigenous populations of Canada. To begin with, education is a central point in explaining individual’s health status. In our case, the indigenous populations in Canada are poorly endowed with education (Greenwood, 2015). This often suggests that the populations have poor health standards. Raphael, (2016) explains that education enlightens people on how to live a healthy life by managing stress, building self-confidence and </w:t>
      </w:r>
      <w:r w:rsidRPr="00B1366E">
        <w:rPr>
          <w:rFonts w:ascii="Times New Roman" w:hAnsi="Times New Roman" w:cs="Times New Roman"/>
          <w:sz w:val="24"/>
          <w:szCs w:val="24"/>
        </w:rPr>
        <w:lastRenderedPageBreak/>
        <w:t>understanding the significance of observing hygiene in one’s life. Therefore, low level of education in indigenous regions of Canada provides firm support to my argument that the populations have more stress, and reduced self-confidence hence poor health.</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Income and social status also determine people’s health. Arguably, people with higher levels of income as well as higher social income have better chances of living a healthy life. Concerning the populations in Canada, income distribution has observed uneven trend the gap between the rich and the poor is widening on a daily basis. With this understanding, the urban populations have better income status which also dictates their social status (Neufeld, 2017). Contrary, the aboriginal populations have deteriorating income distribution and this proofs that they have lower social status and hence greater differences in health. In addition, higher income inequalities among the indigenous populations have led to the emergence of other social risks such as theft, prostitution and human trafficking as they try to earn a living. This has often worsened the health status of this populace through spreading of chronic diseases such as HIV/AIDS and other STI’s hence determining the health status. </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Presence of social support networks is another essential determinant of people’s health. The indigenous people of Canada have conservative social networks which have greatly hampered access to better heal</w:t>
      </w:r>
      <w:r w:rsidR="00043286">
        <w:rPr>
          <w:rFonts w:ascii="Times New Roman" w:hAnsi="Times New Roman" w:cs="Times New Roman"/>
          <w:sz w:val="24"/>
          <w:szCs w:val="24"/>
        </w:rPr>
        <w:t xml:space="preserve">th standards. For instance, </w:t>
      </w:r>
      <w:r w:rsidR="00043286" w:rsidRPr="00B1366E">
        <w:rPr>
          <w:rFonts w:ascii="Times New Roman" w:hAnsi="Times New Roman" w:cs="Times New Roman"/>
          <w:sz w:val="24"/>
          <w:szCs w:val="24"/>
        </w:rPr>
        <w:t>communities</w:t>
      </w:r>
      <w:r w:rsidRPr="00B1366E">
        <w:rPr>
          <w:rFonts w:ascii="Times New Roman" w:hAnsi="Times New Roman" w:cs="Times New Roman"/>
          <w:sz w:val="24"/>
          <w:szCs w:val="24"/>
        </w:rPr>
        <w:t xml:space="preserve">, families and friends have failed to join efforts for better health. As evident, they have not yet established stable backgrounds for practicing modern medication technologies through community-initiated hospitals, schools or even churches which could teach the best health practices. Moreover, the indigenous community’s culture is quite primitive (Raphael, 2016). The customs, traditions and beliefs of the community and that of families contradicts the healthcare technology. The </w:t>
      </w:r>
      <w:r w:rsidRPr="00B1366E">
        <w:rPr>
          <w:rFonts w:ascii="Times New Roman" w:hAnsi="Times New Roman" w:cs="Times New Roman"/>
          <w:sz w:val="24"/>
          <w:szCs w:val="24"/>
        </w:rPr>
        <w:lastRenderedPageBreak/>
        <w:t xml:space="preserve">communities abide by the traditional meditation practices, which have by far failed to cure and sustain wellbeing of the community thus poor health. </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Accessibility of health care services also amplifies health status of a community (Neufeld, 2017). In this context, the Canadian indigenous populations have been poorly endowed with health centers. This confirms that the populace has limited to no access to health care services which are deemed essential for treating and preventing diseases. Thus, the indigenous people of Canada have shown growing health hazards and deaths due to the outbreak of diseases with no acute response from the nearby health centers which could have the potential to treat and prevent their continued existence. Limited access and use of health services in the local populations of Canada indicates poor health standards.</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The indigenous people of Canada lack adequate food and agriculture securities (Greenwood, 2015). As evident, the local populations are highly depended on agricultural practices for survival. However, adoption of the emerging production technologies has staged inevitable challenges to the people. As such, use of fertilizers has led to increased nitrates content in food as well as pollution in waterways. Tobacco farming is eminent in some indigenous regions and this has led to the prevalence of diseases such as stroke, heart disease, cancer and other dangerous respiratory diseases. Moreover, poor land use mechanisms among the populations have challenged the soil quality and choice of crop to be grown in the regions thus decline in the subsistence sector. The communities rely on traditional food packing, safety and preservation mechanisms and this has often led to food poisoning hence challenging health through food</w:t>
      </w:r>
      <w:r w:rsidR="00043286">
        <w:rPr>
          <w:rFonts w:ascii="Times New Roman" w:hAnsi="Times New Roman" w:cs="Times New Roman"/>
          <w:sz w:val="24"/>
          <w:szCs w:val="24"/>
        </w:rPr>
        <w:t xml:space="preserve"> </w:t>
      </w:r>
      <w:r w:rsidRPr="00B1366E">
        <w:rPr>
          <w:rFonts w:ascii="Times New Roman" w:hAnsi="Times New Roman" w:cs="Times New Roman"/>
          <w:sz w:val="24"/>
          <w:szCs w:val="24"/>
        </w:rPr>
        <w:t>borne illnesses.</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lastRenderedPageBreak/>
        <w:t xml:space="preserve">Social exclusion in Canada has been the order of the day.  Local communities have suffered from unequal social and economic networks and integration. With this, the populace has continually been oppressed through lack of access to resources, potentials and rights thus health inequalities. Moreover, the local communities have been hindered from fully participating in social life. Indigenous people have lacked adequate access to quality education, and healthcare services. This has widely supported health constraints through reduced income distribution, social networking and increased unemployment. </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Scholars have also hinted that infrastructure significantly dictates the nature of health in a community. A community with improved roads and means of communication is likely to have better health status unlike a community with poor infrastructure (Raphael, 2016). Keenly, the indigenous populations of Canada lack good infrastructure. Poorly developed roads have intensified the volume of an accident on a daily basis. Children and pedestrians have often been hit while on tracks by vehicles. Poor infrastructure has led to returned economic growth, unemployment and limited access to other support services. The communities have not been able to access emergency health care services. This determines that the communities have poor access to health.</w:t>
      </w:r>
    </w:p>
    <w:p w:rsidR="00B1366E" w:rsidRPr="00B1366E" w:rsidRDefault="00B1366E" w:rsidP="00B1366E">
      <w:pPr>
        <w:spacing w:line="480" w:lineRule="auto"/>
        <w:ind w:firstLine="720"/>
        <w:jc w:val="center"/>
        <w:rPr>
          <w:rFonts w:ascii="Times New Roman" w:hAnsi="Times New Roman" w:cs="Times New Roman"/>
          <w:b/>
          <w:i/>
          <w:sz w:val="24"/>
          <w:szCs w:val="24"/>
        </w:rPr>
      </w:pPr>
      <w:r w:rsidRPr="00B1366E">
        <w:rPr>
          <w:rFonts w:ascii="Times New Roman" w:hAnsi="Times New Roman" w:cs="Times New Roman"/>
          <w:b/>
          <w:i/>
          <w:sz w:val="24"/>
          <w:szCs w:val="24"/>
        </w:rPr>
        <w:t>Physical Environment.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The physical environment is a collection of factors among human environment and has a critical responsibility in determining the nature of human health. It is comprised of factors such as healthy communities, safe water and clean air, housing and healthy working environments which all affect health. Focusing on the indigenous Canadian communities, they have been featured in unsafe waters and air. There is an increased rate of air and water pollution which </w:t>
      </w:r>
      <w:r w:rsidRPr="00B1366E">
        <w:rPr>
          <w:rFonts w:ascii="Times New Roman" w:hAnsi="Times New Roman" w:cs="Times New Roman"/>
          <w:sz w:val="24"/>
          <w:szCs w:val="24"/>
        </w:rPr>
        <w:lastRenderedPageBreak/>
        <w:t>causes adverse health effects which has congenital disabilities, cancer, gastrointestinal ailments and respiratory illnesses. There is the prevalence of childhood asthma, a dangerous respiratory disease which is highly linked to airborne contaminants.</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Housing is another evidence of poor health among the indigenous communities. Some people have poor housing mechanisms which pose a major threat to the well-being of the entire populations. Their well-being has been challenged regarding housing tenure, indoor air quality, outdoor temperatures and prevalence of home accidents (Greenwood, 2015). In essence, poor housing leads to poor mental health and </w:t>
      </w:r>
      <w:r w:rsidR="00043286" w:rsidRPr="00B1366E">
        <w:rPr>
          <w:rFonts w:ascii="Times New Roman" w:hAnsi="Times New Roman" w:cs="Times New Roman"/>
          <w:sz w:val="24"/>
          <w:szCs w:val="24"/>
        </w:rPr>
        <w:t>this impact</w:t>
      </w:r>
      <w:r w:rsidRPr="00B1366E">
        <w:rPr>
          <w:rFonts w:ascii="Times New Roman" w:hAnsi="Times New Roman" w:cs="Times New Roman"/>
          <w:sz w:val="24"/>
          <w:szCs w:val="24"/>
        </w:rPr>
        <w:t xml:space="preserve"> negatively on health.</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Poor waste management among the indigenous populations is another evident health risk. Arguably, indigenous communities of Canada lack sufficient know-how on managing waste products. They have uncoordinated dumping of wastes, and this has led to transmission of agents of contagious diseases from the population. Improper waste disposal has led to increased exposure to toxic chemicals hence breeding environmental degradation and vulnerability to health-care wastes. These hazardous wastes have greatly championed poor health among the populace.</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The physical working condition is another factor which dictates health status of an individual. If the working environment is not endowed with adequate facilities, the work becomes stressful and unsafe. In this concern, ethnic communities in Canada are challenged with poor working situations (Smylie &amp; Firestone, 2016). This gives limited control over their working conditions thus propagating stress and risks related to job requirements. This has significant effects on their mental, social and physical well-being thus determining health.</w:t>
      </w:r>
    </w:p>
    <w:p w:rsidR="00B1366E" w:rsidRPr="00B1366E" w:rsidRDefault="00B1366E" w:rsidP="00B1366E">
      <w:pPr>
        <w:spacing w:line="480" w:lineRule="auto"/>
        <w:ind w:firstLine="720"/>
        <w:jc w:val="center"/>
        <w:rPr>
          <w:rFonts w:ascii="Times New Roman" w:hAnsi="Times New Roman" w:cs="Times New Roman"/>
          <w:b/>
          <w:i/>
          <w:sz w:val="24"/>
          <w:szCs w:val="24"/>
        </w:rPr>
      </w:pPr>
      <w:r w:rsidRPr="00B1366E">
        <w:rPr>
          <w:rFonts w:ascii="Times New Roman" w:hAnsi="Times New Roman" w:cs="Times New Roman"/>
          <w:b/>
          <w:i/>
          <w:sz w:val="24"/>
          <w:szCs w:val="24"/>
        </w:rPr>
        <w:t>Individual character and behavior.</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lastRenderedPageBreak/>
        <w:t xml:space="preserve">Personality takes a central point in dictating one’s health. It captures both economic, social and environmental choices that individually make concerning their health. In this way, individuals have the fundamental role to defend diseases, allow for self-care and self-reliance and also solve problems attached to their health. As evident among the Canadian indigenous populations, over 80% of the people are smokers, and this has led to the continued existence of diseases such as cancer which lead to death. Moreover, the communities have exhibited multiple risk-taking behaviors which include alcohol and drug abuse resulting in unsafe sex and reckless driving, especially among the young populations. Eating habit is another facet of human behavior which defines health (Greenwood, 2015). As outlined earlier, indigenous communities of Canada are poorly endowed with education, and hence the majority of them do not know the rationale behind healthy diets. This has allowed dominance of diseases like marasmus and kwashiorkor and obesity; aspects which are challenging the well-being of the majority of Canadian. </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Arguably, the above factors are sufficient determinants of health. Howeve</w:t>
      </w:r>
      <w:r w:rsidR="00043286">
        <w:rPr>
          <w:rFonts w:ascii="Times New Roman" w:hAnsi="Times New Roman" w:cs="Times New Roman"/>
          <w:sz w:val="24"/>
          <w:szCs w:val="24"/>
        </w:rPr>
        <w:t>r, other scholars argue that</w:t>
      </w:r>
      <w:r w:rsidRPr="00B1366E">
        <w:rPr>
          <w:rFonts w:ascii="Times New Roman" w:hAnsi="Times New Roman" w:cs="Times New Roman"/>
          <w:sz w:val="24"/>
          <w:szCs w:val="24"/>
        </w:rPr>
        <w:t xml:space="preserve"> that</w:t>
      </w:r>
      <w:r w:rsidR="00043286">
        <w:rPr>
          <w:rFonts w:ascii="Times New Roman" w:hAnsi="Times New Roman" w:cs="Times New Roman"/>
          <w:sz w:val="24"/>
          <w:szCs w:val="24"/>
        </w:rPr>
        <w:t xml:space="preserve"> the health of </w:t>
      </w:r>
      <w:r w:rsidRPr="00B1366E">
        <w:rPr>
          <w:rFonts w:ascii="Times New Roman" w:hAnsi="Times New Roman" w:cs="Times New Roman"/>
          <w:sz w:val="24"/>
          <w:szCs w:val="24"/>
        </w:rPr>
        <w:t xml:space="preserve">the indigenous people of Canada is only determined by social policing, historical aspects and urban development, conflicts and health differences across gender. Concerning social policing, when the government lays responsive health care regulations, the population is likely to have better health unlike when there is none. As such social policy has the responsibility to address factors which challenge social wellbeing of a community. The social policy seeks to combat poverty and unemployment through offering employment and better working conditions. In addition to this, social policy has the responsibility to impact on food security, health services, education, and better working conditions (De Leeuw et al., 2015). With this understanding, the indigenous population of </w:t>
      </w:r>
      <w:r w:rsidRPr="00B1366E">
        <w:rPr>
          <w:rFonts w:ascii="Times New Roman" w:hAnsi="Times New Roman" w:cs="Times New Roman"/>
          <w:sz w:val="24"/>
          <w:szCs w:val="24"/>
        </w:rPr>
        <w:lastRenderedPageBreak/>
        <w:t xml:space="preserve">Canada is featured with poor health standards because there </w:t>
      </w:r>
      <w:r w:rsidR="00043286" w:rsidRPr="00B1366E">
        <w:rPr>
          <w:rFonts w:ascii="Times New Roman" w:hAnsi="Times New Roman" w:cs="Times New Roman"/>
          <w:sz w:val="24"/>
          <w:szCs w:val="24"/>
        </w:rPr>
        <w:t>are no effective public and social policies</w:t>
      </w:r>
      <w:r w:rsidRPr="00B1366E">
        <w:rPr>
          <w:rFonts w:ascii="Times New Roman" w:hAnsi="Times New Roman" w:cs="Times New Roman"/>
          <w:sz w:val="24"/>
          <w:szCs w:val="24"/>
        </w:rPr>
        <w:t xml:space="preserve"> to upgrade these standards. In this way, the indigenous people lack literacy initiatives, functional income and poverty reduction strategies and promotional food policies. Also, the populations require timely care as a result of poor resource management and inaccessible health services. Lack of comprehensive social policies amid the populace has led to the occurrence of major depression in Canada among the indigenous people thus negative health status.</w:t>
      </w:r>
    </w:p>
    <w:p w:rsidR="003D1606"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Canadian scholars have also exclaimed that historical legacies of colonization have lingering social and structural contributions to the health status of the indigenous communities. As evident, colonial milestones led to high levels of discrimination and this has time and again perpetuated inequalities amid the urban and rural populations. In other words, colonialism set phase for the lasting social differences among the people of different race. </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As such, colonies only offered bettered services at the urban centers with little considerations to the indigenous populations, and this is the replica of what is evident in the Canadian context today. They ensured better income and social status, early childhood, employment and healthful working conditions and also a good education in their areas of operation. This often suggests that if an area was not colonized, the local regions are featured with poor health status accounting from a historical basis. As such, there is the likelihood of poor education, low health services, inadequate income and social status among other sociological inefficiencies which define health status.</w:t>
      </w:r>
    </w:p>
    <w:p w:rsidR="003D1606" w:rsidRDefault="00B1366E" w:rsidP="003D1606">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Moreover, urbanization takes a broader scope in predicting the health status of a community. If a community is located in urban areas, it has higher changes of improved health status, unlike indigenous populations. According to De Leeuw et al. (2015), urbanization defines </w:t>
      </w:r>
      <w:r w:rsidRPr="00B1366E">
        <w:rPr>
          <w:rFonts w:ascii="Times New Roman" w:hAnsi="Times New Roman" w:cs="Times New Roman"/>
          <w:sz w:val="24"/>
          <w:szCs w:val="24"/>
        </w:rPr>
        <w:lastRenderedPageBreak/>
        <w:t xml:space="preserve">income, health services, education, proper housing, better working conditions, social inclusion and food security among others which are critical determinants of health and social life of an individual. The basis of this argument is that if a community is located in remote regions, poor health status is attached as a result of food insecurity, inadequate housing, income inequality and other factors which are socially responsible for determining the health. Besides, war and health differences are leading determinants of health among the indigenous populations of Canada. As a health determinant, war has direct casualties. According to Smylie &amp; Firestone (2016), conflict is prone to survivors and refugees. War generates lingering disparities to the survivors and also has a negative attachment to the physical and social environment, education, housing, water supply and income among others and </w:t>
      </w:r>
      <w:r w:rsidR="00043286" w:rsidRPr="00B1366E">
        <w:rPr>
          <w:rFonts w:ascii="Times New Roman" w:hAnsi="Times New Roman" w:cs="Times New Roman"/>
          <w:sz w:val="24"/>
          <w:szCs w:val="24"/>
        </w:rPr>
        <w:t>these impacts</w:t>
      </w:r>
      <w:r w:rsidRPr="00B1366E">
        <w:rPr>
          <w:rFonts w:ascii="Times New Roman" w:hAnsi="Times New Roman" w:cs="Times New Roman"/>
          <w:sz w:val="24"/>
          <w:szCs w:val="24"/>
        </w:rPr>
        <w:t xml:space="preserve"> negatively to the health. </w:t>
      </w:r>
    </w:p>
    <w:p w:rsidR="00285959" w:rsidRPr="00285959" w:rsidRDefault="00B1366E" w:rsidP="00285959">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The health difference between men and women determines health in several ways. For instance life expectancy in Canada cuts across genders. Because of the changing patterns of behavior such as smoking and drug abuse which is more evident among men than women. Researchers have also identified that ladies are more precautionary when selecting meals than men. Canadian men engage more in physical activities than women. Following this differences, it is easy for one to understand the excellent response of gender in health as well as getting the current difference between genders towards their health. According to this position, the health of a population can only be defined regarding social policy, historical milestones, and urbanization, war and h</w:t>
      </w:r>
      <w:r w:rsidR="00285959">
        <w:rPr>
          <w:rFonts w:ascii="Times New Roman" w:hAnsi="Times New Roman" w:cs="Times New Roman"/>
          <w:sz w:val="24"/>
          <w:szCs w:val="24"/>
        </w:rPr>
        <w:t>ealth differences amid genders.</w:t>
      </w:r>
    </w:p>
    <w:p w:rsidR="00B1366E" w:rsidRPr="00B1366E" w:rsidRDefault="00B1366E" w:rsidP="00B1366E">
      <w:pPr>
        <w:spacing w:line="480" w:lineRule="auto"/>
        <w:ind w:firstLine="720"/>
        <w:jc w:val="center"/>
        <w:rPr>
          <w:rFonts w:ascii="Times New Roman" w:hAnsi="Times New Roman" w:cs="Times New Roman"/>
          <w:b/>
          <w:sz w:val="24"/>
          <w:szCs w:val="24"/>
        </w:rPr>
      </w:pPr>
      <w:r w:rsidRPr="00B1366E">
        <w:rPr>
          <w:rFonts w:ascii="Times New Roman" w:hAnsi="Times New Roman" w:cs="Times New Roman"/>
          <w:b/>
          <w:sz w:val="24"/>
          <w:szCs w:val="24"/>
        </w:rPr>
        <w:t>Conclusion.</w:t>
      </w:r>
    </w:p>
    <w:p w:rsidR="00043286" w:rsidRDefault="00B1366E" w:rsidP="00043286">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To sum up, Canada is one of the modern nations featured with the most controversial health sector. As discussed above, the wellbeing of indigenous people of Canada is </w:t>
      </w:r>
      <w:r w:rsidR="00043286">
        <w:rPr>
          <w:rFonts w:ascii="Times New Roman" w:hAnsi="Times New Roman" w:cs="Times New Roman"/>
          <w:sz w:val="24"/>
          <w:szCs w:val="24"/>
        </w:rPr>
        <w:t>linked to the</w:t>
      </w:r>
      <w:r w:rsidRPr="00B1366E">
        <w:rPr>
          <w:rFonts w:ascii="Times New Roman" w:hAnsi="Times New Roman" w:cs="Times New Roman"/>
          <w:sz w:val="24"/>
          <w:szCs w:val="24"/>
        </w:rPr>
        <w:t xml:space="preserve"> </w:t>
      </w:r>
      <w:r w:rsidRPr="00B1366E">
        <w:rPr>
          <w:rFonts w:ascii="Times New Roman" w:hAnsi="Times New Roman" w:cs="Times New Roman"/>
          <w:sz w:val="24"/>
          <w:szCs w:val="24"/>
        </w:rPr>
        <w:lastRenderedPageBreak/>
        <w:t xml:space="preserve">evident social inequalities such as food insecurity, poor education, and income disparities among others. From a critical point of view, the determinants of indigenous people’s health in Canada can be </w:t>
      </w:r>
      <w:r w:rsidR="00043286">
        <w:rPr>
          <w:rFonts w:ascii="Times New Roman" w:hAnsi="Times New Roman" w:cs="Times New Roman"/>
          <w:sz w:val="24"/>
          <w:szCs w:val="24"/>
        </w:rPr>
        <w:t>sanctioned into three aspects and these are;</w:t>
      </w:r>
      <w:r w:rsidRPr="00B1366E">
        <w:rPr>
          <w:rFonts w:ascii="Times New Roman" w:hAnsi="Times New Roman" w:cs="Times New Roman"/>
          <w:sz w:val="24"/>
          <w:szCs w:val="24"/>
        </w:rPr>
        <w:t xml:space="preserve"> the social-economic environments, physical environments and person’s behavior and characters. The socio-economic factors include education, food and agricultural security, income and social status, infrastructure, access to health services, better working environments, early child development, gender, and culture. Physical environment captures housing, wastes preservation, safe water and clean air, resourceful working environment and healthy communities. </w:t>
      </w:r>
      <w:r w:rsidR="00285959">
        <w:rPr>
          <w:rFonts w:ascii="Times New Roman" w:hAnsi="Times New Roman" w:cs="Times New Roman"/>
          <w:sz w:val="24"/>
          <w:szCs w:val="24"/>
        </w:rPr>
        <w:t>P</w:t>
      </w:r>
      <w:r w:rsidRPr="00B1366E">
        <w:rPr>
          <w:rFonts w:ascii="Times New Roman" w:hAnsi="Times New Roman" w:cs="Times New Roman"/>
          <w:sz w:val="24"/>
          <w:szCs w:val="24"/>
        </w:rPr>
        <w:t>erson’s behavior and character are subject to gender, culture, and personality and coping skills. However, some contradicting arguments surpass that health of indigenous Canadians can only be defined by social policy, historical legacies, wars, urban developments a</w:t>
      </w:r>
      <w:r w:rsidR="00043286">
        <w:rPr>
          <w:rFonts w:ascii="Times New Roman" w:hAnsi="Times New Roman" w:cs="Times New Roman"/>
          <w:sz w:val="24"/>
          <w:szCs w:val="24"/>
        </w:rPr>
        <w:t>nd the apparent disparities among</w:t>
      </w:r>
      <w:r w:rsidRPr="00B1366E">
        <w:rPr>
          <w:rFonts w:ascii="Times New Roman" w:hAnsi="Times New Roman" w:cs="Times New Roman"/>
          <w:sz w:val="24"/>
          <w:szCs w:val="24"/>
        </w:rPr>
        <w:t xml:space="preserve"> men and women.</w:t>
      </w:r>
      <w:r w:rsidR="00043286">
        <w:rPr>
          <w:rFonts w:ascii="Times New Roman" w:hAnsi="Times New Roman" w:cs="Times New Roman"/>
          <w:sz w:val="24"/>
          <w:szCs w:val="24"/>
        </w:rPr>
        <w:t xml:space="preserve"> </w:t>
      </w:r>
    </w:p>
    <w:p w:rsidR="004400B4" w:rsidRPr="00B1366E" w:rsidRDefault="00043286" w:rsidP="000432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Evidently, many researchers support the three factors;</w:t>
      </w:r>
      <w:r w:rsidRPr="00043286">
        <w:rPr>
          <w:rFonts w:ascii="Times New Roman" w:hAnsi="Times New Roman" w:cs="Times New Roman"/>
          <w:sz w:val="24"/>
          <w:szCs w:val="24"/>
        </w:rPr>
        <w:t xml:space="preserve"> </w:t>
      </w:r>
      <w:r w:rsidR="003D1606">
        <w:rPr>
          <w:rFonts w:ascii="Times New Roman" w:hAnsi="Times New Roman" w:cs="Times New Roman"/>
          <w:sz w:val="24"/>
          <w:szCs w:val="24"/>
        </w:rPr>
        <w:t xml:space="preserve">social-economic </w:t>
      </w:r>
      <w:r w:rsidRPr="00B1366E">
        <w:rPr>
          <w:rFonts w:ascii="Times New Roman" w:hAnsi="Times New Roman" w:cs="Times New Roman"/>
          <w:sz w:val="24"/>
          <w:szCs w:val="24"/>
        </w:rPr>
        <w:t>environments, physical environments</w:t>
      </w:r>
      <w:r>
        <w:rPr>
          <w:rFonts w:ascii="Times New Roman" w:hAnsi="Times New Roman" w:cs="Times New Roman"/>
          <w:sz w:val="24"/>
          <w:szCs w:val="24"/>
        </w:rPr>
        <w:t xml:space="preserve">, human behaviour and </w:t>
      </w:r>
      <w:r w:rsidR="003D1606">
        <w:rPr>
          <w:rFonts w:ascii="Times New Roman" w:hAnsi="Times New Roman" w:cs="Times New Roman"/>
          <w:sz w:val="24"/>
          <w:szCs w:val="24"/>
        </w:rPr>
        <w:t>character as</w:t>
      </w:r>
      <w:r>
        <w:rPr>
          <w:rFonts w:ascii="Times New Roman" w:hAnsi="Times New Roman" w:cs="Times New Roman"/>
          <w:sz w:val="24"/>
          <w:szCs w:val="24"/>
        </w:rPr>
        <w:t xml:space="preserve"> the primary determinants of health among the indigenous populations in Can</w:t>
      </w:r>
      <w:r w:rsidR="003D1606">
        <w:rPr>
          <w:rFonts w:ascii="Times New Roman" w:hAnsi="Times New Roman" w:cs="Times New Roman"/>
          <w:sz w:val="24"/>
          <w:szCs w:val="24"/>
        </w:rPr>
        <w:t>ada and I also support this assertion.</w:t>
      </w:r>
      <w:r w:rsidR="00B1366E" w:rsidRPr="00B1366E">
        <w:rPr>
          <w:rFonts w:ascii="Times New Roman" w:hAnsi="Times New Roman" w:cs="Times New Roman"/>
          <w:sz w:val="24"/>
          <w:szCs w:val="24"/>
        </w:rPr>
        <w:t xml:space="preserve"> This is because each element has quite many underlying factors which widely explain the well-being of every member of the indigenous communities. As evident, the populations have been challenged with lasting social disparities, and hence the government has a broader role to play to contrast all the health threats among the people. By so doing, the country will encounter better health services, increased food security, better access to education, reduced income disparities and social status as well. In addition to this, active social policies should be formulated and effected to cultivate changes in the social life of indigenous population’s thus record</w:t>
      </w:r>
      <w:r>
        <w:rPr>
          <w:rFonts w:ascii="Times New Roman" w:hAnsi="Times New Roman" w:cs="Times New Roman"/>
          <w:sz w:val="24"/>
          <w:szCs w:val="24"/>
        </w:rPr>
        <w:t>ing good health.</w:t>
      </w:r>
      <w:r w:rsidR="004400B4" w:rsidRPr="00B1366E">
        <w:rPr>
          <w:rFonts w:ascii="Times New Roman" w:hAnsi="Times New Roman" w:cs="Times New Roman"/>
          <w:sz w:val="24"/>
          <w:szCs w:val="24"/>
        </w:rPr>
        <w:br/>
      </w:r>
    </w:p>
    <w:p w:rsidR="003D1606" w:rsidRDefault="003D1606" w:rsidP="003D1606">
      <w:pPr>
        <w:spacing w:line="480" w:lineRule="auto"/>
        <w:rPr>
          <w:rFonts w:ascii="Times New Roman" w:hAnsi="Times New Roman" w:cs="Times New Roman"/>
          <w:sz w:val="24"/>
          <w:szCs w:val="24"/>
        </w:rPr>
      </w:pPr>
    </w:p>
    <w:p w:rsidR="00B1366E" w:rsidRPr="003D1606" w:rsidRDefault="003D1606" w:rsidP="003D160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r w:rsidR="00B1366E" w:rsidRPr="004400B4">
        <w:rPr>
          <w:rFonts w:ascii="Times New Roman" w:eastAsia="Times New Roman" w:hAnsi="Times New Roman" w:cs="Times New Roman"/>
          <w:vanish/>
          <w:sz w:val="24"/>
          <w:szCs w:val="24"/>
        </w:rPr>
        <w:t>Top of Form</w:t>
      </w:r>
    </w:p>
    <w:p w:rsidR="00B1366E" w:rsidRPr="00B1366E"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De Leeuw, S., Lindsay, N. M., Greenwood, M., &amp; Reading, C. (2015). Rethinking determinants of indigenous peoples' health in Canada. </w:t>
      </w:r>
      <w:r w:rsidRPr="00B1366E">
        <w:rPr>
          <w:rFonts w:ascii="Times New Roman" w:hAnsi="Times New Roman" w:cs="Times New Roman"/>
          <w:i/>
          <w:iCs/>
          <w:color w:val="222222"/>
          <w:sz w:val="24"/>
          <w:szCs w:val="24"/>
          <w:shd w:val="clear" w:color="auto" w:fill="FFFFFF"/>
        </w:rPr>
        <w:t>Determinants of Indigenous peoples' health in Canada: Beyond the social</w:t>
      </w:r>
      <w:r w:rsidRPr="00B1366E">
        <w:rPr>
          <w:rFonts w:ascii="Times New Roman" w:hAnsi="Times New Roman" w:cs="Times New Roman"/>
          <w:color w:val="222222"/>
          <w:sz w:val="24"/>
          <w:szCs w:val="24"/>
          <w:shd w:val="clear" w:color="auto" w:fill="FFFFFF"/>
        </w:rPr>
        <w:t>, xi-xxvii.</w:t>
      </w:r>
    </w:p>
    <w:p w:rsidR="00B1366E" w:rsidRPr="00B1366E" w:rsidRDefault="00B1366E" w:rsidP="003D1606">
      <w:pPr>
        <w:shd w:val="clear" w:color="auto" w:fill="FFFFFF"/>
        <w:spacing w:after="0" w:line="480" w:lineRule="auto"/>
        <w:ind w:left="720" w:hanging="720"/>
        <w:rPr>
          <w:rFonts w:ascii="Times New Roman" w:eastAsia="Arial Unicode MS" w:hAnsi="Times New Roman" w:cs="Times New Roman"/>
          <w:color w:val="000000"/>
          <w:sz w:val="24"/>
          <w:szCs w:val="24"/>
        </w:rPr>
      </w:pPr>
      <w:r w:rsidRPr="004400B4">
        <w:rPr>
          <w:rFonts w:ascii="Times New Roman" w:eastAsia="Arial Unicode MS" w:hAnsi="Times New Roman" w:cs="Times New Roman"/>
          <w:color w:val="000000"/>
          <w:sz w:val="24"/>
          <w:szCs w:val="24"/>
        </w:rPr>
        <w:t>Greenwood, M., De, L. S., In Lindsay, N. M., &amp; Reading, C. (2015). </w:t>
      </w:r>
      <w:r w:rsidRPr="004400B4">
        <w:rPr>
          <w:rFonts w:ascii="Times New Roman" w:eastAsia="Arial Unicode MS" w:hAnsi="Times New Roman" w:cs="Times New Roman"/>
          <w:i/>
          <w:iCs/>
          <w:color w:val="000000"/>
          <w:sz w:val="24"/>
          <w:szCs w:val="24"/>
        </w:rPr>
        <w:t>Determinants of indigenous peoples' health in Canada: Beyond the social</w:t>
      </w:r>
      <w:r w:rsidRPr="004400B4">
        <w:rPr>
          <w:rFonts w:ascii="Times New Roman" w:eastAsia="Arial Unicode MS" w:hAnsi="Times New Roman" w:cs="Times New Roman"/>
          <w:color w:val="000000"/>
          <w:sz w:val="24"/>
          <w:szCs w:val="24"/>
        </w:rPr>
        <w:t>.</w:t>
      </w:r>
    </w:p>
    <w:p w:rsidR="003D1606"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Neufeld, H. T. (2017). Determinants of Indigenous Peoples’ Health in Canada: Beyond the Social. </w:t>
      </w:r>
      <w:r w:rsidRPr="00B1366E">
        <w:rPr>
          <w:rFonts w:ascii="Times New Roman" w:hAnsi="Times New Roman" w:cs="Times New Roman"/>
          <w:i/>
          <w:iCs/>
          <w:color w:val="222222"/>
          <w:sz w:val="24"/>
          <w:szCs w:val="24"/>
          <w:shd w:val="clear" w:color="auto" w:fill="FFFFFF"/>
        </w:rPr>
        <w:t>Canadian Studies in Population</w:t>
      </w:r>
      <w:r w:rsidRPr="00B1366E">
        <w:rPr>
          <w:rFonts w:ascii="Times New Roman" w:hAnsi="Times New Roman" w:cs="Times New Roman"/>
          <w:color w:val="222222"/>
          <w:sz w:val="24"/>
          <w:szCs w:val="24"/>
          <w:shd w:val="clear" w:color="auto" w:fill="FFFFFF"/>
        </w:rPr>
        <w:t>, </w:t>
      </w:r>
      <w:r w:rsidRPr="00B1366E">
        <w:rPr>
          <w:rFonts w:ascii="Times New Roman" w:hAnsi="Times New Roman" w:cs="Times New Roman"/>
          <w:i/>
          <w:iCs/>
          <w:color w:val="222222"/>
          <w:sz w:val="24"/>
          <w:szCs w:val="24"/>
          <w:shd w:val="clear" w:color="auto" w:fill="FFFFFF"/>
        </w:rPr>
        <w:t>44</w:t>
      </w:r>
      <w:r w:rsidRPr="00B1366E">
        <w:rPr>
          <w:rFonts w:ascii="Times New Roman" w:hAnsi="Times New Roman" w:cs="Times New Roman"/>
          <w:color w:val="222222"/>
          <w:sz w:val="24"/>
          <w:szCs w:val="24"/>
          <w:shd w:val="clear" w:color="auto" w:fill="FFFFFF"/>
        </w:rPr>
        <w:t>(1-2), 108-109.</w:t>
      </w:r>
    </w:p>
    <w:p w:rsidR="003D1606"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eastAsia="Arial Unicode MS" w:hAnsi="Times New Roman" w:cs="Times New Roman"/>
          <w:color w:val="000000"/>
          <w:sz w:val="24"/>
          <w:szCs w:val="24"/>
          <w:shd w:val="clear" w:color="auto" w:fill="FFFFFF"/>
        </w:rPr>
        <w:t>Raphael, D. (2016). </w:t>
      </w:r>
      <w:r w:rsidRPr="00B1366E">
        <w:rPr>
          <w:rFonts w:ascii="Times New Roman" w:eastAsia="Arial Unicode MS" w:hAnsi="Times New Roman" w:cs="Times New Roman"/>
          <w:i/>
          <w:iCs/>
          <w:color w:val="000000"/>
          <w:sz w:val="24"/>
          <w:szCs w:val="24"/>
          <w:shd w:val="clear" w:color="auto" w:fill="FFFFFF"/>
        </w:rPr>
        <w:t>Social determinants of health: Canadian perspectives</w:t>
      </w:r>
      <w:r w:rsidRPr="00B1366E">
        <w:rPr>
          <w:rFonts w:ascii="Times New Roman" w:eastAsia="Arial Unicode MS" w:hAnsi="Times New Roman" w:cs="Times New Roman"/>
          <w:color w:val="000000"/>
          <w:sz w:val="24"/>
          <w:szCs w:val="24"/>
          <w:shd w:val="clear" w:color="auto" w:fill="FFFFFF"/>
        </w:rPr>
        <w:t>.</w:t>
      </w:r>
      <w:r w:rsidRPr="004400B4">
        <w:rPr>
          <w:rFonts w:ascii="Times New Roman" w:eastAsia="Times New Roman" w:hAnsi="Times New Roman" w:cs="Times New Roman"/>
          <w:vanish/>
          <w:sz w:val="24"/>
          <w:szCs w:val="24"/>
        </w:rPr>
        <w:t>Bottom of Form</w:t>
      </w:r>
    </w:p>
    <w:p w:rsidR="004400B4" w:rsidRPr="003D1606" w:rsidRDefault="004400B4"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Smylie, J., &amp; Firestone, M. (2016). The health of indigenous peoples. </w:t>
      </w:r>
      <w:r w:rsidRPr="00B1366E">
        <w:rPr>
          <w:rFonts w:ascii="Times New Roman" w:hAnsi="Times New Roman" w:cs="Times New Roman"/>
          <w:i/>
          <w:iCs/>
          <w:color w:val="222222"/>
          <w:sz w:val="24"/>
          <w:szCs w:val="24"/>
          <w:shd w:val="clear" w:color="auto" w:fill="FFFFFF"/>
        </w:rPr>
        <w:t>D. Raphael (3rd ed.) Social determinants of health: Canadian perspective</w:t>
      </w:r>
      <w:r w:rsidRPr="00B1366E">
        <w:rPr>
          <w:rFonts w:ascii="Times New Roman" w:hAnsi="Times New Roman" w:cs="Times New Roman"/>
          <w:color w:val="222222"/>
          <w:sz w:val="24"/>
          <w:szCs w:val="24"/>
          <w:shd w:val="clear" w:color="auto" w:fill="FFFFFF"/>
        </w:rPr>
        <w:t>, 434-469.</w:t>
      </w:r>
    </w:p>
    <w:sectPr w:rsidR="004400B4" w:rsidRPr="003D1606" w:rsidSect="003D1606">
      <w:headerReference w:type="default" r:id="rId6"/>
      <w:headerReference w:type="first" r:id="rId7"/>
      <w:pgSz w:w="12240" w:h="15840"/>
      <w:pgMar w:top="1584"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50FB" w:rsidRDefault="003550FB" w:rsidP="0084219C">
      <w:pPr>
        <w:spacing w:after="0" w:line="240" w:lineRule="auto"/>
      </w:pPr>
      <w:r>
        <w:separator/>
      </w:r>
    </w:p>
  </w:endnote>
  <w:endnote w:type="continuationSeparator" w:id="1">
    <w:p w:rsidR="003550FB" w:rsidRDefault="003550FB" w:rsidP="008421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50FB" w:rsidRDefault="003550FB" w:rsidP="0084219C">
      <w:pPr>
        <w:spacing w:after="0" w:line="240" w:lineRule="auto"/>
      </w:pPr>
      <w:r>
        <w:separator/>
      </w:r>
    </w:p>
  </w:footnote>
  <w:footnote w:type="continuationSeparator" w:id="1">
    <w:p w:rsidR="003550FB" w:rsidRDefault="003550FB" w:rsidP="008421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6E" w:rsidRPr="00B1366E" w:rsidRDefault="00B1366E">
    <w:pPr>
      <w:pStyle w:val="Header"/>
      <w:rPr>
        <w:rFonts w:ascii="Times New Roman" w:hAnsi="Times New Roman" w:cs="Times New Roman"/>
        <w:sz w:val="24"/>
        <w:szCs w:val="24"/>
      </w:rPr>
    </w:pPr>
    <w:r w:rsidRPr="00B1366E">
      <w:rPr>
        <w:rFonts w:ascii="Times New Roman" w:hAnsi="Times New Roman" w:cs="Times New Roman"/>
        <w:sz w:val="24"/>
        <w:szCs w:val="24"/>
      </w:rPr>
      <w:t>DETERMINANTS OF INDIGENOUS PEOPLE’S HEALTH IN CANADA.</w:t>
    </w:r>
    <w:r w:rsidRPr="00B1366E">
      <w:rPr>
        <w:rFonts w:ascii="Times New Roman" w:hAnsi="Times New Roman" w:cs="Times New Roman"/>
        <w:sz w:val="24"/>
        <w:szCs w:val="24"/>
      </w:rPr>
      <w:tab/>
    </w:r>
    <w:sdt>
      <w:sdtPr>
        <w:rPr>
          <w:rFonts w:ascii="Times New Roman" w:hAnsi="Times New Roman" w:cs="Times New Roman"/>
          <w:sz w:val="24"/>
          <w:szCs w:val="24"/>
        </w:rPr>
        <w:id w:val="-502659425"/>
        <w:docPartObj>
          <w:docPartGallery w:val="Page Numbers (Top of Page)"/>
          <w:docPartUnique/>
        </w:docPartObj>
      </w:sdtPr>
      <w:sdtEndPr>
        <w:rPr>
          <w:noProof/>
        </w:rPr>
      </w:sdtEndPr>
      <w:sdtContent>
        <w:r w:rsidR="00D329A9" w:rsidRPr="00B1366E">
          <w:rPr>
            <w:rFonts w:ascii="Times New Roman" w:hAnsi="Times New Roman" w:cs="Times New Roman"/>
            <w:sz w:val="24"/>
            <w:szCs w:val="24"/>
          </w:rPr>
          <w:fldChar w:fldCharType="begin"/>
        </w:r>
        <w:r w:rsidRPr="00B1366E">
          <w:rPr>
            <w:rFonts w:ascii="Times New Roman" w:hAnsi="Times New Roman" w:cs="Times New Roman"/>
            <w:sz w:val="24"/>
            <w:szCs w:val="24"/>
          </w:rPr>
          <w:instrText xml:space="preserve"> PAGE   \* MERGEFORMAT </w:instrText>
        </w:r>
        <w:r w:rsidR="00D329A9" w:rsidRPr="00B1366E">
          <w:rPr>
            <w:rFonts w:ascii="Times New Roman" w:hAnsi="Times New Roman" w:cs="Times New Roman"/>
            <w:sz w:val="24"/>
            <w:szCs w:val="24"/>
          </w:rPr>
          <w:fldChar w:fldCharType="separate"/>
        </w:r>
        <w:r w:rsidR="003D1606">
          <w:rPr>
            <w:rFonts w:ascii="Times New Roman" w:hAnsi="Times New Roman" w:cs="Times New Roman"/>
            <w:noProof/>
            <w:sz w:val="24"/>
            <w:szCs w:val="24"/>
          </w:rPr>
          <w:t>11</w:t>
        </w:r>
        <w:r w:rsidR="00D329A9" w:rsidRPr="00B1366E">
          <w:rPr>
            <w:rFonts w:ascii="Times New Roman" w:hAnsi="Times New Roman" w:cs="Times New Roman"/>
            <w:noProof/>
            <w:sz w:val="24"/>
            <w:szCs w:val="24"/>
          </w:rPr>
          <w:fldChar w:fldCharType="end"/>
        </w:r>
      </w:sdtContent>
    </w:sdt>
  </w:p>
  <w:p w:rsidR="00B1366E" w:rsidRPr="00B1366E" w:rsidRDefault="00B1366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6E" w:rsidRPr="00B1366E" w:rsidRDefault="00B1366E" w:rsidP="00B1366E">
    <w:pPr>
      <w:rPr>
        <w:rFonts w:ascii="Times New Roman" w:hAnsi="Times New Roman" w:cs="Times New Roman"/>
        <w:sz w:val="24"/>
        <w:szCs w:val="24"/>
      </w:rPr>
    </w:pPr>
    <w:r w:rsidRPr="00B1366E">
      <w:rPr>
        <w:rFonts w:ascii="Times New Roman" w:hAnsi="Times New Roman" w:cs="Times New Roman"/>
        <w:sz w:val="24"/>
        <w:szCs w:val="24"/>
      </w:rPr>
      <w:t>Running Head: DETERMINANTS OF INDIGENOUS PEOPLE’S HEALTH IN CANADA.</w:t>
    </w:r>
    <w:sdt>
      <w:sdtPr>
        <w:rPr>
          <w:rFonts w:ascii="Times New Roman" w:hAnsi="Times New Roman" w:cs="Times New Roman"/>
          <w:sz w:val="24"/>
          <w:szCs w:val="24"/>
        </w:rPr>
        <w:id w:val="134610048"/>
        <w:docPartObj>
          <w:docPartGallery w:val="Page Numbers (Top of Page)"/>
          <w:docPartUnique/>
        </w:docPartObj>
      </w:sdtPr>
      <w:sdtEndPr>
        <w:rPr>
          <w:noProof/>
        </w:rPr>
      </w:sdtEndPr>
      <w:sdtContent>
        <w:r w:rsidR="00D329A9" w:rsidRPr="00B1366E">
          <w:rPr>
            <w:rFonts w:ascii="Times New Roman" w:hAnsi="Times New Roman" w:cs="Times New Roman"/>
            <w:sz w:val="24"/>
            <w:szCs w:val="24"/>
          </w:rPr>
          <w:fldChar w:fldCharType="begin"/>
        </w:r>
        <w:r w:rsidRPr="00B1366E">
          <w:rPr>
            <w:rFonts w:ascii="Times New Roman" w:hAnsi="Times New Roman" w:cs="Times New Roman"/>
            <w:sz w:val="24"/>
            <w:szCs w:val="24"/>
          </w:rPr>
          <w:instrText xml:space="preserve"> PAGE   \* MERGEFORMAT </w:instrText>
        </w:r>
        <w:r w:rsidR="00D329A9" w:rsidRPr="00B1366E">
          <w:rPr>
            <w:rFonts w:ascii="Times New Roman" w:hAnsi="Times New Roman" w:cs="Times New Roman"/>
            <w:sz w:val="24"/>
            <w:szCs w:val="24"/>
          </w:rPr>
          <w:fldChar w:fldCharType="separate"/>
        </w:r>
        <w:r w:rsidR="003D1606">
          <w:rPr>
            <w:rFonts w:ascii="Times New Roman" w:hAnsi="Times New Roman" w:cs="Times New Roman"/>
            <w:noProof/>
            <w:sz w:val="24"/>
            <w:szCs w:val="24"/>
          </w:rPr>
          <w:t>1</w:t>
        </w:r>
        <w:r w:rsidR="00D329A9" w:rsidRPr="00B1366E">
          <w:rPr>
            <w:rFonts w:ascii="Times New Roman" w:hAnsi="Times New Roman" w:cs="Times New Roman"/>
            <w:noProof/>
            <w:sz w:val="24"/>
            <w:szCs w:val="24"/>
          </w:rPr>
          <w:fldChar w:fldCharType="end"/>
        </w:r>
      </w:sdtContent>
    </w:sdt>
  </w:p>
  <w:p w:rsidR="00B1366E" w:rsidRPr="00B1366E" w:rsidRDefault="00B1366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46F04"/>
    <w:rsid w:val="00043286"/>
    <w:rsid w:val="000A1158"/>
    <w:rsid w:val="000E4233"/>
    <w:rsid w:val="001C0A02"/>
    <w:rsid w:val="001D0EAC"/>
    <w:rsid w:val="00285959"/>
    <w:rsid w:val="002D5877"/>
    <w:rsid w:val="002F3461"/>
    <w:rsid w:val="003550FB"/>
    <w:rsid w:val="003D1606"/>
    <w:rsid w:val="00407E04"/>
    <w:rsid w:val="00433209"/>
    <w:rsid w:val="004400B4"/>
    <w:rsid w:val="00442EA6"/>
    <w:rsid w:val="00461340"/>
    <w:rsid w:val="004F1920"/>
    <w:rsid w:val="005E7B13"/>
    <w:rsid w:val="00656DB3"/>
    <w:rsid w:val="00674E67"/>
    <w:rsid w:val="006E6F04"/>
    <w:rsid w:val="00746F04"/>
    <w:rsid w:val="00774978"/>
    <w:rsid w:val="0084219C"/>
    <w:rsid w:val="008B0824"/>
    <w:rsid w:val="008D350C"/>
    <w:rsid w:val="00913DBD"/>
    <w:rsid w:val="009A3B02"/>
    <w:rsid w:val="00A63C52"/>
    <w:rsid w:val="00A91D57"/>
    <w:rsid w:val="00B1366E"/>
    <w:rsid w:val="00B17484"/>
    <w:rsid w:val="00B40F84"/>
    <w:rsid w:val="00C10AC5"/>
    <w:rsid w:val="00C74632"/>
    <w:rsid w:val="00C871D4"/>
    <w:rsid w:val="00C93CF1"/>
    <w:rsid w:val="00CA67D4"/>
    <w:rsid w:val="00CB7E04"/>
    <w:rsid w:val="00CC0DE2"/>
    <w:rsid w:val="00D04E4D"/>
    <w:rsid w:val="00D329A9"/>
    <w:rsid w:val="00D71C22"/>
    <w:rsid w:val="00D77B09"/>
    <w:rsid w:val="00E34D37"/>
    <w:rsid w:val="00E564EC"/>
    <w:rsid w:val="00EC7938"/>
    <w:rsid w:val="00F727FB"/>
    <w:rsid w:val="00FC5C67"/>
    <w:rsid w:val="00FF759A"/>
    <w:rsid w:val="00FF79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9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19C"/>
  </w:style>
  <w:style w:type="paragraph" w:styleId="Footer">
    <w:name w:val="footer"/>
    <w:basedOn w:val="Normal"/>
    <w:link w:val="FooterChar"/>
    <w:uiPriority w:val="99"/>
    <w:unhideWhenUsed/>
    <w:rsid w:val="00842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9C"/>
  </w:style>
  <w:style w:type="paragraph" w:styleId="z-TopofForm">
    <w:name w:val="HTML Top of Form"/>
    <w:basedOn w:val="Normal"/>
    <w:next w:val="Normal"/>
    <w:link w:val="z-TopofFormChar"/>
    <w:hidden/>
    <w:uiPriority w:val="99"/>
    <w:semiHidden/>
    <w:unhideWhenUsed/>
    <w:rsid w:val="004400B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400B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400B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400B4"/>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805199345">
      <w:bodyDiv w:val="1"/>
      <w:marLeft w:val="0"/>
      <w:marRight w:val="0"/>
      <w:marTop w:val="0"/>
      <w:marBottom w:val="0"/>
      <w:divBdr>
        <w:top w:val="none" w:sz="0" w:space="0" w:color="auto"/>
        <w:left w:val="none" w:sz="0" w:space="0" w:color="auto"/>
        <w:bottom w:val="none" w:sz="0" w:space="0" w:color="auto"/>
        <w:right w:val="none" w:sz="0" w:space="0" w:color="auto"/>
      </w:divBdr>
      <w:divsChild>
        <w:div w:id="1676297615">
          <w:marLeft w:val="0"/>
          <w:marRight w:val="0"/>
          <w:marTop w:val="0"/>
          <w:marBottom w:val="0"/>
          <w:divBdr>
            <w:top w:val="none" w:sz="0" w:space="0" w:color="auto"/>
            <w:left w:val="none" w:sz="0" w:space="0" w:color="auto"/>
            <w:bottom w:val="single" w:sz="6" w:space="3" w:color="D0D4D7"/>
            <w:right w:val="none" w:sz="0" w:space="0" w:color="auto"/>
          </w:divBdr>
          <w:divsChild>
            <w:div w:id="128955650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2683</Words>
  <Characters>15294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2018-03-18T07:28:00Z</dcterms:created>
  <dcterms:modified xsi:type="dcterms:W3CDTF">2018-03-18T07:28:00Z</dcterms:modified>
</cp:coreProperties>
</file>